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02" w:rsidRDefault="005E0202" w:rsidP="0024043E">
      <w:pPr>
        <w:ind w:firstLine="709"/>
        <w:jc w:val="center"/>
        <w:rPr>
          <w:rFonts w:ascii="Times New Roman" w:hAnsi="Times New Roman"/>
          <w:sz w:val="28"/>
          <w:szCs w:val="28"/>
        </w:rPr>
      </w:pPr>
      <w:r>
        <w:rPr>
          <w:rFonts w:ascii="Times New Roman" w:hAnsi="Times New Roman"/>
          <w:b/>
          <w:sz w:val="32"/>
          <w:szCs w:val="28"/>
        </w:rPr>
        <w:t xml:space="preserve">                                                                    </w:t>
      </w:r>
      <w:bookmarkStart w:id="0" w:name="_GoBack"/>
      <w:bookmarkEnd w:id="0"/>
      <w:r>
        <w:rPr>
          <w:rFonts w:ascii="Times New Roman" w:hAnsi="Times New Roman"/>
          <w:b/>
          <w:sz w:val="32"/>
          <w:szCs w:val="28"/>
        </w:rPr>
        <w:t>ПРОЕКТ</w:t>
      </w:r>
    </w:p>
    <w:p w:rsidR="005E0202" w:rsidRDefault="005E0202"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r w:rsidR="005E0202">
        <w:rPr>
          <w:rFonts w:ascii="Times New Roman" w:hAnsi="Times New Roman"/>
          <w:sz w:val="28"/>
          <w:szCs w:val="28"/>
        </w:rPr>
        <w:t xml:space="preserve"> </w:t>
      </w:r>
    </w:p>
    <w:p w:rsidR="00D75A8F" w:rsidRPr="0024043E" w:rsidRDefault="000579CA" w:rsidP="0024043E">
      <w:pPr>
        <w:ind w:firstLine="709"/>
        <w:jc w:val="center"/>
        <w:rPr>
          <w:rFonts w:ascii="Times New Roman" w:hAnsi="Times New Roman"/>
          <w:sz w:val="28"/>
          <w:szCs w:val="28"/>
        </w:rPr>
      </w:pPr>
      <w:r>
        <w:rPr>
          <w:rFonts w:ascii="Times New Roman" w:hAnsi="Times New Roman"/>
          <w:sz w:val="28"/>
          <w:szCs w:val="28"/>
        </w:rPr>
        <w:t>КРАСНОРЕЧЕНСКОГО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D75A8F" w:rsidP="0024043E">
      <w:pPr>
        <w:ind w:firstLine="709"/>
        <w:rPr>
          <w:rFonts w:ascii="Times New Roman" w:hAnsi="Times New Roman"/>
          <w:sz w:val="28"/>
          <w:szCs w:val="28"/>
        </w:rPr>
      </w:pPr>
      <w:proofErr w:type="gramStart"/>
      <w:r w:rsidRPr="0024043E">
        <w:rPr>
          <w:rFonts w:ascii="Times New Roman" w:hAnsi="Times New Roman"/>
          <w:sz w:val="28"/>
          <w:szCs w:val="28"/>
        </w:rPr>
        <w:t>с</w:t>
      </w:r>
      <w:proofErr w:type="gramEnd"/>
      <w:r w:rsidRPr="0024043E">
        <w:rPr>
          <w:rFonts w:ascii="Times New Roman" w:hAnsi="Times New Roman"/>
          <w:sz w:val="28"/>
          <w:szCs w:val="28"/>
        </w:rPr>
        <w:t xml:space="preserve">. </w:t>
      </w:r>
      <w:r w:rsidR="000579CA">
        <w:rPr>
          <w:rFonts w:ascii="Times New Roman" w:hAnsi="Times New Roman"/>
          <w:sz w:val="28"/>
          <w:szCs w:val="28"/>
        </w:rPr>
        <w:t>Краснореченка</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0579CA">
        <w:rPr>
          <w:rFonts w:ascii="Times New Roman" w:hAnsi="Times New Roman" w:cs="Times New Roman"/>
          <w:b w:val="0"/>
          <w:sz w:val="28"/>
          <w:szCs w:val="28"/>
        </w:rPr>
        <w:t>Краснореченского</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579CA">
        <w:t>Краснореченского</w:t>
      </w:r>
      <w:r w:rsidRPr="0024043E">
        <w:t xml:space="preserve"> 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0579CA">
        <w:t>Краснореченского</w:t>
      </w:r>
      <w:r w:rsidR="00D75A8F" w:rsidRPr="0024043E">
        <w:t xml:space="preserve"> сельского поселения Грибановского муниципального района Воронежской области </w:t>
      </w:r>
      <w:r w:rsidRPr="0024043E">
        <w:t xml:space="preserve">согласно приложению к </w:t>
      </w:r>
      <w:r w:rsidRPr="0024043E">
        <w:lastRenderedPageBreak/>
        <w:t>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 Настоящее постановление вступает в силу со дня его официального опубликования в вестнике муниципальных правовых актов </w:t>
      </w:r>
      <w:r w:rsidR="000579CA">
        <w:rPr>
          <w:rFonts w:ascii="Times New Roman" w:hAnsi="Times New Roman"/>
          <w:sz w:val="28"/>
          <w:szCs w:val="28"/>
        </w:rPr>
        <w:t>Краснореченского</w:t>
      </w:r>
      <w:r w:rsidRPr="0024043E">
        <w:rPr>
          <w:rFonts w:ascii="Times New Roman" w:hAnsi="Times New Roman"/>
          <w:sz w:val="28"/>
          <w:szCs w:val="28"/>
        </w:rPr>
        <w:t xml:space="preserve"> сельского поселения и размещения на официальном сайте </w:t>
      </w:r>
      <w:r w:rsidR="000579CA">
        <w:rPr>
          <w:rFonts w:ascii="Times New Roman" w:hAnsi="Times New Roman"/>
          <w:sz w:val="28"/>
          <w:szCs w:val="28"/>
        </w:rPr>
        <w:t>Краснореченского</w:t>
      </w:r>
      <w:r w:rsidRPr="0024043E">
        <w:rPr>
          <w:rFonts w:ascii="Times New Roman" w:hAnsi="Times New Roman"/>
          <w:sz w:val="28"/>
          <w:szCs w:val="28"/>
        </w:rPr>
        <w:t xml:space="preserve"> 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201"/>
        <w:gridCol w:w="3147"/>
        <w:gridCol w:w="3222"/>
      </w:tblGrid>
      <w:tr w:rsidR="0024043E" w:rsidRPr="0024043E" w:rsidTr="000579CA">
        <w:trPr>
          <w:trHeight w:val="741"/>
        </w:trPr>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0579CA" w:rsidP="000579CA">
            <w:pPr>
              <w:ind w:firstLine="0"/>
              <w:rPr>
                <w:rFonts w:ascii="Times New Roman" w:hAnsi="Times New Roman"/>
                <w:sz w:val="28"/>
                <w:szCs w:val="28"/>
                <w:lang w:eastAsia="en-US"/>
              </w:rPr>
            </w:pPr>
            <w:r>
              <w:rPr>
                <w:rFonts w:ascii="Times New Roman" w:hAnsi="Times New Roman"/>
                <w:sz w:val="28"/>
                <w:szCs w:val="28"/>
                <w:lang w:eastAsia="en-US"/>
              </w:rPr>
              <w:t>Ю.В. Остросаблина</w:t>
            </w:r>
            <w:r w:rsidR="00FB1534" w:rsidRPr="0024043E">
              <w:rPr>
                <w:rFonts w:ascii="Times New Roman" w:hAnsi="Times New Roman"/>
                <w:sz w:val="28"/>
                <w:szCs w:val="28"/>
                <w:lang w:eastAsia="en-US"/>
              </w:rPr>
              <w:t xml:space="preserve">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0579CA" w:rsidP="0024043E">
      <w:pPr>
        <w:ind w:firstLine="709"/>
        <w:jc w:val="right"/>
        <w:rPr>
          <w:rFonts w:ascii="Times New Roman" w:hAnsi="Times New Roman"/>
          <w:sz w:val="28"/>
          <w:szCs w:val="28"/>
        </w:rPr>
      </w:pPr>
      <w:r>
        <w:rPr>
          <w:rFonts w:ascii="Times New Roman" w:hAnsi="Times New Roman"/>
          <w:sz w:val="28"/>
          <w:szCs w:val="28"/>
        </w:rPr>
        <w:t>Краснореченского</w:t>
      </w:r>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0579CA">
        <w:rPr>
          <w:b/>
          <w:i w:val="0"/>
          <w:sz w:val="28"/>
          <w:szCs w:val="28"/>
        </w:rPr>
        <w:t>Краснореченского</w:t>
      </w:r>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0579CA">
        <w:rPr>
          <w:sz w:val="28"/>
          <w:szCs w:val="28"/>
        </w:rPr>
        <w:t>Краснореченского</w:t>
      </w:r>
      <w:r w:rsidRPr="0024043E">
        <w:rPr>
          <w:sz w:val="28"/>
          <w:szCs w:val="28"/>
        </w:rPr>
        <w:t xml:space="preserve"> 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0579CA">
        <w:rPr>
          <w:sz w:val="28"/>
          <w:szCs w:val="28"/>
        </w:rPr>
        <w:t>Краснореченского</w:t>
      </w:r>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0579CA">
        <w:rPr>
          <w:sz w:val="28"/>
          <w:szCs w:val="28"/>
        </w:rPr>
        <w:t>Краснореченского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0579CA">
        <w:rPr>
          <w:sz w:val="28"/>
          <w:szCs w:val="28"/>
        </w:rPr>
        <w:t>Краснореченского</w:t>
      </w:r>
      <w:r w:rsidR="00FB1534" w:rsidRPr="0024043E">
        <w:rPr>
          <w:sz w:val="28"/>
          <w:szCs w:val="28"/>
        </w:rPr>
        <w:t xml:space="preserve"> 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5E6BC2">
        <w:rPr>
          <w:sz w:val="28"/>
          <w:szCs w:val="28"/>
        </w:rPr>
        <w:t xml:space="preserve">Краснореченского сельского поселения </w:t>
      </w:r>
      <w:r w:rsidR="00CD2D55" w:rsidRPr="0024043E">
        <w:rPr>
          <w:sz w:val="28"/>
          <w:szCs w:val="28"/>
        </w:rPr>
        <w:t>(http://</w:t>
      </w:r>
      <w:r w:rsidR="005E6BC2" w:rsidRPr="005E6BC2">
        <w:rPr>
          <w:sz w:val="28"/>
          <w:szCs w:val="28"/>
        </w:rPr>
        <w:t>krasnorechenskoe-grib.ru</w:t>
      </w:r>
      <w:r w:rsidR="005E6BC2">
        <w:rPr>
          <w:sz w:val="28"/>
          <w:szCs w:val="28"/>
        </w:rPr>
        <w:t>)</w:t>
      </w:r>
      <w:r w:rsidR="005E6BC2" w:rsidRPr="005E6BC2">
        <w:rPr>
          <w:sz w:val="28"/>
          <w:szCs w:val="28"/>
        </w:rPr>
        <w:t xml:space="preserve"> </w:t>
      </w:r>
      <w:r w:rsidR="00CD2D55" w:rsidRPr="0024043E">
        <w:rPr>
          <w:sz w:val="28"/>
          <w:szCs w:val="28"/>
        </w:rPr>
        <w:t xml:space="preserve">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w:t>
      </w:r>
      <w:proofErr w:type="gramEnd"/>
      <w:r w:rsidR="00D36D8C" w:rsidRPr="0024043E">
        <w:rPr>
          <w:sz w:val="28"/>
          <w:szCs w:val="28"/>
        </w:rPr>
        <w:t xml:space="preserve"> - www.govvrn.ru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разрабатывает информационные материалы по порядку предоставления Муниципальной услуги и размещает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1"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1"/>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5E6BC2">
        <w:t>Краснореченского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5E6BC2">
        <w:rPr>
          <w:rFonts w:ascii="Times New Roman" w:hAnsi="Times New Roman"/>
          <w:sz w:val="28"/>
          <w:szCs w:val="28"/>
        </w:rPr>
        <w:t>Краснореченского</w:t>
      </w:r>
      <w:r w:rsidR="00DF0B9D" w:rsidRPr="0024043E">
        <w:rPr>
          <w:rFonts w:ascii="Times New Roman" w:hAnsi="Times New Roman"/>
          <w:sz w:val="28"/>
          <w:szCs w:val="28"/>
        </w:rPr>
        <w:t xml:space="preserve">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5E6BC2">
        <w:rPr>
          <w:rFonts w:ascii="Times New Roman" w:hAnsi="Times New Roman"/>
          <w:sz w:val="28"/>
          <w:szCs w:val="28"/>
        </w:rPr>
        <w:t>Краснореченского</w:t>
      </w:r>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5E6BC2">
        <w:rPr>
          <w:rFonts w:ascii="Times New Roman" w:hAnsi="Times New Roman"/>
          <w:sz w:val="28"/>
          <w:szCs w:val="28"/>
        </w:rPr>
        <w:t>Краснореченского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5B69E2">
        <w:rPr>
          <w:rFonts w:ascii="Times New Roman" w:hAnsi="Times New Roman"/>
          <w:bCs/>
          <w:iCs/>
          <w:sz w:val="28"/>
          <w:szCs w:val="28"/>
        </w:rPr>
        <w:t>Краснореченского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5B69E2">
      <w:pPr>
        <w:pStyle w:val="21"/>
        <w:shd w:val="clear" w:color="auto" w:fill="auto"/>
        <w:tabs>
          <w:tab w:val="left" w:pos="567"/>
        </w:tabs>
        <w:spacing w:before="0" w:after="0" w:line="240" w:lineRule="auto"/>
        <w:ind w:firstLine="709"/>
        <w:rPr>
          <w:i/>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5B69E2" w:rsidRPr="005B69E2">
        <w:rPr>
          <w:sz w:val="28"/>
          <w:szCs w:val="28"/>
        </w:rPr>
        <w:t xml:space="preserve">krasnorechenskoe-grib.ru </w:t>
      </w:r>
    </w:p>
    <w:p w:rsidR="005B69E2" w:rsidRDefault="005B69E2" w:rsidP="0024043E">
      <w:pPr>
        <w:pStyle w:val="90"/>
        <w:shd w:val="clear" w:color="auto" w:fill="auto"/>
        <w:tabs>
          <w:tab w:val="left" w:pos="0"/>
          <w:tab w:val="left" w:pos="993"/>
        </w:tabs>
        <w:spacing w:after="0" w:line="240" w:lineRule="auto"/>
        <w:ind w:firstLine="709"/>
        <w:rPr>
          <w:b/>
          <w:i w:val="0"/>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2" w:name="Par0"/>
      <w:bookmarkEnd w:id="2"/>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4043E">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proofErr w:type="spellStart"/>
      <w:r w:rsidRPr="0024043E">
        <w:rPr>
          <w:sz w:val="28"/>
          <w:szCs w:val="28"/>
          <w:lang w:val="en-US"/>
        </w:rPr>
        <w:t>pdf</w:t>
      </w:r>
      <w:proofErr w:type="spellEnd"/>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3" w:name="bookmark1"/>
      <w:r w:rsidRPr="0024043E">
        <w:rPr>
          <w:sz w:val="28"/>
          <w:szCs w:val="28"/>
          <w:lang w:val="en-US"/>
        </w:rPr>
        <w:t>III</w:t>
      </w:r>
      <w:r w:rsidRPr="0024043E">
        <w:rPr>
          <w:sz w:val="28"/>
          <w:szCs w:val="28"/>
        </w:rPr>
        <w:t xml:space="preserve">. </w:t>
      </w:r>
      <w:bookmarkEnd w:id="3"/>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Специалист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4" w:name="P365"/>
      <w:bookmarkEnd w:id="4"/>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5" w:name="P366"/>
      <w:bookmarkEnd w:id="5"/>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6" w:name="P367"/>
      <w:bookmarkEnd w:id="6"/>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7"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7"/>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B69E2">
        <w:rPr>
          <w:sz w:val="28"/>
          <w:szCs w:val="28"/>
        </w:rPr>
        <w:t>Краснореченского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B69E2">
        <w:rPr>
          <w:sz w:val="28"/>
          <w:szCs w:val="28"/>
        </w:rPr>
        <w:t>Краснореченского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B69E2">
        <w:rPr>
          <w:sz w:val="28"/>
          <w:szCs w:val="28"/>
        </w:rPr>
        <w:t>Краснореченского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8" w:name="p39"/>
      <w:bookmarkEnd w:id="8"/>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9" w:name="p43"/>
      <w:bookmarkEnd w:id="9"/>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043E">
        <w:rPr>
          <w:rFonts w:ascii="Times New Roman" w:hAnsi="Times New Roman"/>
          <w:sz w:val="28"/>
          <w:szCs w:val="28"/>
        </w:rPr>
        <w:t>неудобства</w:t>
      </w:r>
      <w:proofErr w:type="gramEnd"/>
      <w:r w:rsidRPr="0024043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6"/>
      <w:r w:rsidRPr="0024043E">
        <w:rPr>
          <w:rFonts w:ascii="Times New Roman" w:hAnsi="Times New Roman" w:cs="Times New Roman"/>
          <w:color w:val="auto"/>
          <w:sz w:val="28"/>
          <w:szCs w:val="28"/>
        </w:rPr>
        <w:t>досудебного (внесудебного) обжалования действий</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7"/>
      <w:r w:rsidRPr="0024043E">
        <w:rPr>
          <w:rFonts w:ascii="Times New Roman" w:hAnsi="Times New Roman" w:cs="Times New Roman"/>
          <w:color w:val="auto"/>
          <w:sz w:val="28"/>
          <w:szCs w:val="28"/>
        </w:rPr>
        <w:t>(бездействия) и (или) решений, принятых (осуществленных)</w:t>
      </w:r>
      <w:bookmarkEnd w:id="12"/>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3" w:name="_Toc134019828"/>
      <w:r w:rsidRPr="0024043E">
        <w:rPr>
          <w:rFonts w:ascii="Times New Roman" w:hAnsi="Times New Roman" w:cs="Times New Roman"/>
          <w:color w:val="auto"/>
          <w:sz w:val="28"/>
          <w:szCs w:val="28"/>
        </w:rPr>
        <w:t>в ходе предоставления муниципальной услуги</w:t>
      </w:r>
      <w:bookmarkEnd w:id="13"/>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proofErr w:type="spellStart"/>
      <w:r w:rsidRPr="0024043E">
        <w:rPr>
          <w:rFonts w:ascii="Times New Roman" w:hAnsi="Times New Roman"/>
          <w:b/>
          <w:sz w:val="28"/>
          <w:szCs w:val="28"/>
        </w:rPr>
        <w:t>Кому</w:t>
      </w:r>
      <w:proofErr w:type="gramStart"/>
      <w:r w:rsidRPr="0024043E">
        <w:rPr>
          <w:rFonts w:ascii="Times New Roman" w:hAnsi="Times New Roman"/>
          <w:b/>
          <w:sz w:val="28"/>
          <w:szCs w:val="28"/>
        </w:rPr>
        <w:t>:</w:t>
      </w:r>
      <w:r w:rsidR="00F11787">
        <w:rPr>
          <w:rFonts w:ascii="Times New Roman" w:hAnsi="Times New Roman"/>
          <w:b/>
          <w:sz w:val="28"/>
          <w:szCs w:val="28"/>
        </w:rPr>
        <w:t>В</w:t>
      </w:r>
      <w:proofErr w:type="spellEnd"/>
      <w:proofErr w:type="gramEnd"/>
      <w:r w:rsidR="00F11787">
        <w:rPr>
          <w:rFonts w:ascii="Times New Roman" w:hAnsi="Times New Roman"/>
          <w:b/>
          <w:sz w:val="28"/>
          <w:szCs w:val="28"/>
        </w:rPr>
        <w:t xml:space="preserve"> администрацию Краснореченского сельского поселения</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lastRenderedPageBreak/>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F11787"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 xml:space="preserve">Кому: </w:t>
      </w:r>
      <w:r w:rsidR="00F11787" w:rsidRPr="00F11787">
        <w:rPr>
          <w:rFonts w:ascii="Times New Roman" w:hAnsi="Times New Roman"/>
          <w:b/>
          <w:sz w:val="28"/>
          <w:szCs w:val="28"/>
        </w:rPr>
        <w:t>В администрацию Краснореченского</w:t>
      </w:r>
    </w:p>
    <w:p w:rsidR="00CF5B38" w:rsidRPr="0024043E" w:rsidRDefault="00F11787" w:rsidP="00F11787">
      <w:pPr>
        <w:ind w:firstLine="709"/>
        <w:jc w:val="right"/>
        <w:rPr>
          <w:rFonts w:ascii="Times New Roman" w:hAnsi="Times New Roman"/>
          <w:b/>
          <w:sz w:val="28"/>
          <w:szCs w:val="28"/>
        </w:rPr>
      </w:pPr>
      <w:r w:rsidRPr="00F11787">
        <w:rPr>
          <w:rFonts w:ascii="Times New Roman" w:hAnsi="Times New Roman"/>
          <w:b/>
          <w:sz w:val="28"/>
          <w:szCs w:val="28"/>
        </w:rPr>
        <w:t xml:space="preserve"> сельского поселения </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F0" w:rsidRDefault="00403AF0" w:rsidP="009D6883">
      <w:r>
        <w:separator/>
      </w:r>
    </w:p>
  </w:endnote>
  <w:endnote w:type="continuationSeparator" w:id="0">
    <w:p w:rsidR="00403AF0" w:rsidRDefault="00403AF0"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F0" w:rsidRDefault="00403AF0" w:rsidP="009D6883">
      <w:r>
        <w:separator/>
      </w:r>
    </w:p>
  </w:footnote>
  <w:footnote w:type="continuationSeparator" w:id="0">
    <w:p w:rsidR="00403AF0" w:rsidRDefault="00403AF0"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Content>
      <w:p w:rsidR="000579CA" w:rsidRDefault="000579CA">
        <w:pPr>
          <w:pStyle w:val="af2"/>
          <w:jc w:val="center"/>
        </w:pPr>
        <w:r>
          <w:fldChar w:fldCharType="begin"/>
        </w:r>
        <w:r>
          <w:instrText>PAGE   \* MERGEFORMAT</w:instrText>
        </w:r>
        <w:r>
          <w:fldChar w:fldCharType="separate"/>
        </w:r>
        <w:r w:rsidR="005E0202">
          <w:rPr>
            <w:noProof/>
          </w:rPr>
          <w:t>1</w:t>
        </w:r>
        <w:r>
          <w:fldChar w:fldCharType="end"/>
        </w:r>
      </w:p>
    </w:sdtContent>
  </w:sdt>
  <w:p w:rsidR="000579CA" w:rsidRDefault="000579C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579CA"/>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03AF0"/>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B69E2"/>
    <w:rsid w:val="005C7535"/>
    <w:rsid w:val="005C7D61"/>
    <w:rsid w:val="005D0CD9"/>
    <w:rsid w:val="005D0D76"/>
    <w:rsid w:val="005D1C7D"/>
    <w:rsid w:val="005E0202"/>
    <w:rsid w:val="005E6BC2"/>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1787"/>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0241-D71A-4EC5-9536-59852107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Pages>
  <Words>17310</Words>
  <Characters>98673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lyuda</cp:lastModifiedBy>
  <cp:revision>37</cp:revision>
  <cp:lastPrinted>2023-07-12T12:00:00Z</cp:lastPrinted>
  <dcterms:created xsi:type="dcterms:W3CDTF">2023-06-09T09:13:00Z</dcterms:created>
  <dcterms:modified xsi:type="dcterms:W3CDTF">2023-08-31T07:27:00Z</dcterms:modified>
</cp:coreProperties>
</file>